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3" w:firstLine="676"/>
        <w:jc w:val="center"/>
        <w:rPr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 мерах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поддержки для социальных предприятий </w:t>
      </w:r>
    </w:p>
    <w:p>
      <w:pPr>
        <w:pStyle w:val="Normal"/>
        <w:ind w:left="33" w:firstLine="676"/>
        <w:jc w:val="center"/>
        <w:rPr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Приморского края</w:t>
      </w:r>
    </w:p>
    <w:p>
      <w:pPr>
        <w:pStyle w:val="Normal"/>
        <w:ind w:left="33" w:firstLine="676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ind w:left="33" w:firstLine="676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По итогам 2021 года в Перечень социальных предприятий Приморского края включено 171 предприятие, из них 101 предприятию предоставлена грантовая поддержка, комплексные услуги оказаны 294 субъектам малого и среднего предпринимательства. </w:t>
      </w:r>
    </w:p>
    <w:p>
      <w:pPr>
        <w:pStyle w:val="Normal"/>
        <w:ind w:left="33" w:firstLine="676"/>
        <w:jc w:val="both"/>
        <w:rPr>
          <w:rFonts w:cs="Times New Roman"/>
        </w:rPr>
      </w:pPr>
      <w:r>
        <w:rPr>
          <w:rFonts w:cs="Times New Roman"/>
        </w:rPr>
      </w:r>
    </w:p>
    <w:tbl>
      <w:tblPr>
        <w:tblW w:w="5490" w:type="dxa"/>
        <w:jc w:val="lef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000" w:noVBand="0" w:noHBand="0" w:lastColumn="0" w:firstColumn="0" w:lastRow="0" w:firstRow="0"/>
      </w:tblPr>
      <w:tblGrid>
        <w:gridCol w:w="3765"/>
        <w:gridCol w:w="1724"/>
      </w:tblGrid>
      <w:tr>
        <w:trPr/>
        <w:tc>
          <w:tcPr>
            <w:tcW w:w="3765" w:type="dxa"/>
            <w:tcBorders/>
            <w:shd w:color="auto" w:fill="auto" w:val="clear"/>
            <w:vAlign w:val="bottom"/>
          </w:tcPr>
          <w:p>
            <w:pPr>
              <w:pStyle w:val="Style3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ГОРОД ВЛАДИВОСТОК</w:t>
            </w:r>
          </w:p>
        </w:tc>
        <w:tc>
          <w:tcPr>
            <w:tcW w:w="1724" w:type="dxa"/>
            <w:tcBorders/>
            <w:shd w:color="auto" w:fill="auto" w:val="clear"/>
            <w:vAlign w:val="bottom"/>
          </w:tcPr>
          <w:p>
            <w:pPr>
              <w:pStyle w:val="Style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</w:t>
            </w:r>
          </w:p>
        </w:tc>
      </w:tr>
      <w:tr>
        <w:trPr/>
        <w:tc>
          <w:tcPr>
            <w:tcW w:w="3765" w:type="dxa"/>
            <w:tcBorders/>
            <w:shd w:color="auto" w:fill="auto" w:val="clear"/>
            <w:vAlign w:val="bottom"/>
          </w:tcPr>
          <w:p>
            <w:pPr>
              <w:pStyle w:val="Style3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ГОРОД НАХОДКА</w:t>
            </w:r>
          </w:p>
        </w:tc>
        <w:tc>
          <w:tcPr>
            <w:tcW w:w="1724" w:type="dxa"/>
            <w:tcBorders/>
            <w:shd w:color="auto" w:fill="auto" w:val="clear"/>
            <w:vAlign w:val="bottom"/>
          </w:tcPr>
          <w:p>
            <w:pPr>
              <w:pStyle w:val="Style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</w:tr>
      <w:tr>
        <w:trPr/>
        <w:tc>
          <w:tcPr>
            <w:tcW w:w="3765" w:type="dxa"/>
            <w:tcBorders/>
            <w:shd w:color="auto" w:fill="auto" w:val="clear"/>
            <w:vAlign w:val="bottom"/>
          </w:tcPr>
          <w:p>
            <w:pPr>
              <w:pStyle w:val="Style3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ГОРОД УССУРИЙСК</w:t>
            </w:r>
          </w:p>
        </w:tc>
        <w:tc>
          <w:tcPr>
            <w:tcW w:w="1724" w:type="dxa"/>
            <w:tcBorders/>
            <w:shd w:color="auto" w:fill="auto" w:val="clear"/>
            <w:vAlign w:val="bottom"/>
          </w:tcPr>
          <w:p>
            <w:pPr>
              <w:pStyle w:val="Style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</w:tr>
      <w:tr>
        <w:trPr/>
        <w:tc>
          <w:tcPr>
            <w:tcW w:w="3765" w:type="dxa"/>
            <w:tcBorders/>
            <w:shd w:color="auto" w:fill="auto" w:val="clear"/>
            <w:vAlign w:val="bottom"/>
          </w:tcPr>
          <w:p>
            <w:pPr>
              <w:pStyle w:val="Style3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ГОРОД АРСЕНЬЕВ</w:t>
            </w:r>
          </w:p>
        </w:tc>
        <w:tc>
          <w:tcPr>
            <w:tcW w:w="1724" w:type="dxa"/>
            <w:tcBorders/>
            <w:shd w:color="auto" w:fill="auto" w:val="clear"/>
            <w:vAlign w:val="bottom"/>
          </w:tcPr>
          <w:p>
            <w:pPr>
              <w:pStyle w:val="Style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</w:tr>
      <w:tr>
        <w:trPr/>
        <w:tc>
          <w:tcPr>
            <w:tcW w:w="3765" w:type="dxa"/>
            <w:tcBorders/>
            <w:shd w:color="auto" w:fill="auto" w:val="clear"/>
            <w:vAlign w:val="bottom"/>
          </w:tcPr>
          <w:p>
            <w:pPr>
              <w:pStyle w:val="Style3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ГОРОД БОЛЬШОЙ КАМЕНЬ</w:t>
            </w:r>
          </w:p>
        </w:tc>
        <w:tc>
          <w:tcPr>
            <w:tcW w:w="1724" w:type="dxa"/>
            <w:tcBorders/>
            <w:shd w:color="auto" w:fill="auto" w:val="clear"/>
            <w:vAlign w:val="bottom"/>
          </w:tcPr>
          <w:p>
            <w:pPr>
              <w:pStyle w:val="Style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>
        <w:trPr/>
        <w:tc>
          <w:tcPr>
            <w:tcW w:w="3765" w:type="dxa"/>
            <w:tcBorders/>
            <w:shd w:color="auto" w:fill="auto" w:val="clear"/>
            <w:vAlign w:val="bottom"/>
          </w:tcPr>
          <w:p>
            <w:pPr>
              <w:pStyle w:val="Style3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ГОРОД АРТЕМ</w:t>
            </w:r>
          </w:p>
        </w:tc>
        <w:tc>
          <w:tcPr>
            <w:tcW w:w="1724" w:type="dxa"/>
            <w:tcBorders/>
            <w:shd w:color="auto" w:fill="auto" w:val="clear"/>
            <w:vAlign w:val="bottom"/>
          </w:tcPr>
          <w:p>
            <w:pPr>
              <w:pStyle w:val="Style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>
        <w:trPr/>
        <w:tc>
          <w:tcPr>
            <w:tcW w:w="3765" w:type="dxa"/>
            <w:tcBorders/>
            <w:shd w:color="auto" w:fill="auto" w:val="clear"/>
            <w:vAlign w:val="bottom"/>
          </w:tcPr>
          <w:p>
            <w:pPr>
              <w:pStyle w:val="Style3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НАДЕЖДИНСКИЙ РАЙОН</w:t>
            </w:r>
          </w:p>
        </w:tc>
        <w:tc>
          <w:tcPr>
            <w:tcW w:w="1724" w:type="dxa"/>
            <w:tcBorders/>
            <w:shd w:color="auto" w:fill="auto" w:val="clear"/>
            <w:vAlign w:val="bottom"/>
          </w:tcPr>
          <w:p>
            <w:pPr>
              <w:pStyle w:val="Style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>
        <w:trPr/>
        <w:tc>
          <w:tcPr>
            <w:tcW w:w="3765" w:type="dxa"/>
            <w:tcBorders/>
            <w:shd w:color="auto" w:fill="auto" w:val="clear"/>
            <w:vAlign w:val="bottom"/>
          </w:tcPr>
          <w:p>
            <w:pPr>
              <w:pStyle w:val="Style3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ГОРОД ДАЛЬНЕГОРСК</w:t>
            </w:r>
          </w:p>
        </w:tc>
        <w:tc>
          <w:tcPr>
            <w:tcW w:w="1724" w:type="dxa"/>
            <w:tcBorders/>
            <w:shd w:color="auto" w:fill="auto" w:val="clear"/>
            <w:vAlign w:val="bottom"/>
          </w:tcPr>
          <w:p>
            <w:pPr>
              <w:pStyle w:val="Style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>
        <w:trPr/>
        <w:tc>
          <w:tcPr>
            <w:tcW w:w="3765" w:type="dxa"/>
            <w:tcBorders/>
            <w:shd w:color="auto" w:fill="auto" w:val="clear"/>
            <w:vAlign w:val="bottom"/>
          </w:tcPr>
          <w:p>
            <w:pPr>
              <w:pStyle w:val="Style3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ГОРОД СПАССК-ДАЛЬНИЙ</w:t>
            </w:r>
          </w:p>
        </w:tc>
        <w:tc>
          <w:tcPr>
            <w:tcW w:w="1724" w:type="dxa"/>
            <w:tcBorders/>
            <w:shd w:color="auto" w:fill="auto" w:val="clear"/>
            <w:vAlign w:val="bottom"/>
          </w:tcPr>
          <w:p>
            <w:pPr>
              <w:pStyle w:val="Style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>
        <w:trPr/>
        <w:tc>
          <w:tcPr>
            <w:tcW w:w="3765" w:type="dxa"/>
            <w:tcBorders/>
            <w:shd w:color="auto" w:fill="auto" w:val="clear"/>
            <w:vAlign w:val="bottom"/>
          </w:tcPr>
          <w:p>
            <w:pPr>
              <w:pStyle w:val="Style3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ЧЕРНИГОВСКИЙ РАЙОН</w:t>
            </w:r>
          </w:p>
        </w:tc>
        <w:tc>
          <w:tcPr>
            <w:tcW w:w="1724" w:type="dxa"/>
            <w:tcBorders/>
            <w:shd w:color="auto" w:fill="auto" w:val="clear"/>
            <w:vAlign w:val="bottom"/>
          </w:tcPr>
          <w:p>
            <w:pPr>
              <w:pStyle w:val="Style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>
        <w:trPr/>
        <w:tc>
          <w:tcPr>
            <w:tcW w:w="3765" w:type="dxa"/>
            <w:tcBorders/>
            <w:shd w:color="auto" w:fill="auto" w:val="clear"/>
            <w:vAlign w:val="bottom"/>
          </w:tcPr>
          <w:p>
            <w:pPr>
              <w:pStyle w:val="Style3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КРАСНОАРМЕЙСКИЙ РАЙОН</w:t>
            </w:r>
          </w:p>
        </w:tc>
        <w:tc>
          <w:tcPr>
            <w:tcW w:w="1724" w:type="dxa"/>
            <w:tcBorders/>
            <w:shd w:color="auto" w:fill="auto" w:val="clear"/>
            <w:vAlign w:val="bottom"/>
          </w:tcPr>
          <w:p>
            <w:pPr>
              <w:pStyle w:val="Style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>
        <w:trPr/>
        <w:tc>
          <w:tcPr>
            <w:tcW w:w="3765" w:type="dxa"/>
            <w:tcBorders/>
            <w:shd w:color="auto" w:fill="auto" w:val="clear"/>
            <w:vAlign w:val="bottom"/>
          </w:tcPr>
          <w:p>
            <w:pPr>
              <w:pStyle w:val="Style3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ПОЖАРСКИЙ РАЙОН</w:t>
            </w:r>
          </w:p>
        </w:tc>
        <w:tc>
          <w:tcPr>
            <w:tcW w:w="1724" w:type="dxa"/>
            <w:tcBorders/>
            <w:shd w:color="auto" w:fill="auto" w:val="clear"/>
            <w:vAlign w:val="bottom"/>
          </w:tcPr>
          <w:p>
            <w:pPr>
              <w:pStyle w:val="Style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>
        <w:trPr/>
        <w:tc>
          <w:tcPr>
            <w:tcW w:w="3765" w:type="dxa"/>
            <w:tcBorders/>
            <w:shd w:color="auto" w:fill="auto" w:val="clear"/>
            <w:vAlign w:val="bottom"/>
          </w:tcPr>
          <w:p>
            <w:pPr>
              <w:pStyle w:val="Style3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ПОГРАНИЧНЫЙ РАЙОН</w:t>
            </w:r>
          </w:p>
        </w:tc>
        <w:tc>
          <w:tcPr>
            <w:tcW w:w="1724" w:type="dxa"/>
            <w:tcBorders/>
            <w:shd w:color="auto" w:fill="auto" w:val="clear"/>
            <w:vAlign w:val="bottom"/>
          </w:tcPr>
          <w:p>
            <w:pPr>
              <w:pStyle w:val="Style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>
        <w:trPr/>
        <w:tc>
          <w:tcPr>
            <w:tcW w:w="3765" w:type="dxa"/>
            <w:tcBorders/>
            <w:shd w:color="auto" w:fill="auto" w:val="clear"/>
            <w:vAlign w:val="bottom"/>
          </w:tcPr>
          <w:p>
            <w:pPr>
              <w:pStyle w:val="Style3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ХАСАНСКИЙ РАЙОН</w:t>
            </w:r>
          </w:p>
        </w:tc>
        <w:tc>
          <w:tcPr>
            <w:tcW w:w="1724" w:type="dxa"/>
            <w:tcBorders/>
            <w:shd w:color="auto" w:fill="auto" w:val="clear"/>
            <w:vAlign w:val="bottom"/>
          </w:tcPr>
          <w:p>
            <w:pPr>
              <w:pStyle w:val="Style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>
        <w:trPr/>
        <w:tc>
          <w:tcPr>
            <w:tcW w:w="3765" w:type="dxa"/>
            <w:tcBorders/>
            <w:shd w:color="auto" w:fill="auto" w:val="clear"/>
            <w:vAlign w:val="bottom"/>
          </w:tcPr>
          <w:p>
            <w:pPr>
              <w:pStyle w:val="Style3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ГОРОД ФОКИНО</w:t>
            </w:r>
          </w:p>
        </w:tc>
        <w:tc>
          <w:tcPr>
            <w:tcW w:w="1724" w:type="dxa"/>
            <w:tcBorders/>
            <w:shd w:color="auto" w:fill="auto" w:val="clear"/>
            <w:vAlign w:val="bottom"/>
          </w:tcPr>
          <w:p>
            <w:pPr>
              <w:pStyle w:val="Style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>
        <w:trPr/>
        <w:tc>
          <w:tcPr>
            <w:tcW w:w="3765" w:type="dxa"/>
            <w:tcBorders/>
            <w:shd w:color="auto" w:fill="auto" w:val="clear"/>
            <w:vAlign w:val="bottom"/>
          </w:tcPr>
          <w:p>
            <w:pPr>
              <w:pStyle w:val="Style3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ГОРОД ДАЛЬНЕРЕЧЕНСК</w:t>
            </w:r>
          </w:p>
        </w:tc>
        <w:tc>
          <w:tcPr>
            <w:tcW w:w="1724" w:type="dxa"/>
            <w:tcBorders/>
            <w:shd w:color="auto" w:fill="auto" w:val="clear"/>
            <w:vAlign w:val="bottom"/>
          </w:tcPr>
          <w:p>
            <w:pPr>
              <w:pStyle w:val="Style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>
        <w:trPr/>
        <w:tc>
          <w:tcPr>
            <w:tcW w:w="3765" w:type="dxa"/>
            <w:tcBorders/>
            <w:shd w:color="auto" w:fill="auto" w:val="clear"/>
            <w:vAlign w:val="bottom"/>
          </w:tcPr>
          <w:p>
            <w:pPr>
              <w:pStyle w:val="Style3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ГОРОД ЛЕСОЗАВОДСК</w:t>
            </w:r>
          </w:p>
        </w:tc>
        <w:tc>
          <w:tcPr>
            <w:tcW w:w="1724" w:type="dxa"/>
            <w:tcBorders/>
            <w:shd w:color="auto" w:fill="auto" w:val="clear"/>
            <w:vAlign w:val="bottom"/>
          </w:tcPr>
          <w:p>
            <w:pPr>
              <w:pStyle w:val="Style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>
        <w:trPr/>
        <w:tc>
          <w:tcPr>
            <w:tcW w:w="3765" w:type="dxa"/>
            <w:tcBorders/>
            <w:shd w:color="auto" w:fill="auto" w:val="clear"/>
            <w:vAlign w:val="bottom"/>
          </w:tcPr>
          <w:p>
            <w:pPr>
              <w:pStyle w:val="Style3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Итого </w:t>
            </w:r>
          </w:p>
        </w:tc>
        <w:tc>
          <w:tcPr>
            <w:tcW w:w="1724" w:type="dxa"/>
            <w:tcBorders/>
            <w:shd w:color="auto" w:fill="auto" w:val="clear"/>
            <w:vAlign w:val="bottom"/>
          </w:tcPr>
          <w:p>
            <w:pPr>
              <w:pStyle w:val="Style3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171</w:t>
            </w:r>
          </w:p>
        </w:tc>
      </w:tr>
    </w:tbl>
    <w:p>
      <w:pPr>
        <w:pStyle w:val="Normal"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33" w:firstLine="676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Ежегодно </w:t>
      </w:r>
      <w:r>
        <w:rPr>
          <w:rFonts w:cs="Times New Roman" w:ascii="Times New Roman" w:hAnsi="Times New Roman"/>
          <w:sz w:val="28"/>
          <w:szCs w:val="28"/>
          <w:lang w:eastAsia="ru-RU"/>
        </w:rPr>
        <w:t>министерство экономического развития Приморского края формирует региональный Перечень социальных предприятий в 2021 году. Данные из Перечня интегрируются в Единый реестр малого и среднего предпринимательства, формируемый на сайте Федеральной налоговой службы. Отметку социального предприятия предприниматели могут посмотреть на сайте ФНС после 5 июля 2021 года</w:t>
      </w:r>
      <w:r>
        <w:rPr>
          <w:rFonts w:cs="Times New Roman" w:ascii="Times New Roman" w:hAnsi="Times New Roman"/>
          <w:sz w:val="28"/>
          <w:szCs w:val="28"/>
          <w:highlight w:val="white"/>
          <w:lang w:eastAsia="ru-RU"/>
        </w:rPr>
        <w:t>. (В соответствии с Приказом Минэкономразвития России от 29.11.2019 № 773).</w:t>
      </w:r>
    </w:p>
    <w:p>
      <w:pPr>
        <w:pStyle w:val="Normal"/>
        <w:ind w:left="33" w:firstLine="676"/>
        <w:jc w:val="both"/>
        <w:rPr/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С начала 2022 года принимаются заявки от предпринимателей на включение в Перечень социальных предприятий. </w:t>
      </w:r>
    </w:p>
    <w:p>
      <w:pPr>
        <w:pStyle w:val="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В Приморье поддержку социальных предпринимателей обеспечивает Центр инноваций социальной сферы – подразделение центра «Мой бизнес», </w:t>
      </w:r>
      <w:r>
        <w:rPr>
          <w:rStyle w:val="Style18"/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8"/>
          <w:szCs w:val="28"/>
          <w:highlight w:val="white"/>
          <w:u w:val="none"/>
          <w:lang w:val="ru-RU" w:eastAsia="ru-RU" w:bidi="ar-SA"/>
        </w:rPr>
        <w:t xml:space="preserve">г. Владивосток, ул. Тигровая, 7, оф. 603; тел. 8 (423) 279-59-09; адрес эл. почты </w:t>
      </w:r>
      <w:hyperlink r:id="rId2">
        <w:r>
          <w:rPr>
            <w:rStyle w:val="Style18"/>
            <w:rFonts w:eastAsia="Times New Roman" w:cs="Times New Roman" w:ascii="Times New Roman" w:hAnsi="Times New Roman"/>
            <w:b w:val="false"/>
            <w:bCs w:val="false"/>
            <w:i w:val="false"/>
            <w:iCs w:val="false"/>
            <w:color w:val="auto"/>
            <w:kern w:val="0"/>
            <w:sz w:val="28"/>
            <w:szCs w:val="28"/>
            <w:highlight w:val="white"/>
            <w:u w:val="none"/>
            <w:lang w:val="ru-RU" w:eastAsia="ru-RU" w:bidi="ar-SA"/>
          </w:rPr>
          <w:t>cisspk@cpp25.ru</w:t>
        </w:r>
      </w:hyperlink>
      <w:hyperlink r:id="rId3">
        <w:r>
          <w:rPr>
            <w:rStyle w:val="Style18"/>
            <w:rFonts w:eastAsia="Times New Roman" w:cs="Times New Roman" w:ascii="Times New Roman" w:hAnsi="Times New Roman"/>
            <w:b w:val="false"/>
            <w:bCs w:val="false"/>
            <w:i w:val="false"/>
            <w:iCs w:val="false"/>
            <w:color w:val="auto"/>
            <w:kern w:val="0"/>
            <w:sz w:val="28"/>
            <w:szCs w:val="28"/>
            <w:highlight w:val="white"/>
            <w:u w:val="none"/>
            <w:lang w:val="ru-RU" w:eastAsia="ru-RU" w:bidi="ar-SA"/>
          </w:rPr>
          <w:t>.</w:t>
        </w:r>
      </w:hyperlink>
    </w:p>
    <w:p>
      <w:pPr>
        <w:pStyle w:val="Normal"/>
        <w:ind w:firstLine="709"/>
        <w:jc w:val="both"/>
        <w:rPr>
          <w:rStyle w:val="Style18"/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kern w:val="0"/>
          <w:sz w:val="28"/>
          <w:szCs w:val="28"/>
          <w:highlight w:val="white"/>
          <w:u w:val="none"/>
          <w:lang w:val="ru-RU" w:eastAsia="ru-RU" w:bidi="ar-SA"/>
        </w:rPr>
      </w:pPr>
      <w:r>
        <w:rPr/>
      </w:r>
    </w:p>
    <w:p>
      <w:pPr>
        <w:pStyle w:val="Normal"/>
        <w:spacing w:lineRule="auto" w:line="360"/>
        <w:ind w:firstLine="709"/>
        <w:jc w:val="center"/>
        <w:rPr/>
      </w:pPr>
      <w:r>
        <w:rPr>
          <w:rFonts w:eastAsia="Arial Unicode MS" w:cs="Times New Roman" w:ascii="Times New Roman" w:hAnsi="Times New Roman"/>
          <w:b/>
          <w:bCs/>
          <w:color w:val="000000"/>
          <w:kern w:val="2"/>
          <w:sz w:val="28"/>
          <w:szCs w:val="28"/>
          <w:lang w:eastAsia="ru-RU" w:bidi="hi-IN"/>
        </w:rPr>
        <w:t>Меры поддержки для социальных предприятий: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/>
          <w:b/>
          <w:b/>
          <w:bCs/>
        </w:rPr>
      </w:pPr>
      <w:r>
        <w:rPr>
          <w:rFonts w:eastAsia="Arial Unicode MS" w:cs="Times New Roman" w:ascii="Times New Roman" w:hAnsi="Times New Roman"/>
          <w:b/>
          <w:bCs/>
          <w:color w:val="000000"/>
          <w:kern w:val="2"/>
          <w:sz w:val="28"/>
          <w:szCs w:val="28"/>
          <w:lang w:eastAsia="ru-RU" w:bidi="hi-IN"/>
        </w:rPr>
        <w:t>- Налоговые льготы</w:t>
      </w:r>
    </w:p>
    <w:p>
      <w:pPr>
        <w:pStyle w:val="Normal"/>
        <w:ind w:firstLine="709"/>
        <w:jc w:val="both"/>
        <w:rPr/>
      </w:pPr>
      <w:r>
        <w:rPr>
          <w:rFonts w:eastAsia="Arial Unicode MS" w:cs="Times New Roman" w:ascii="Times New Roman" w:hAnsi="Times New Roman"/>
          <w:color w:val="000000"/>
          <w:kern w:val="2"/>
          <w:sz w:val="28"/>
          <w:szCs w:val="28"/>
          <w:lang w:eastAsia="ru-RU" w:bidi="hi-IN"/>
        </w:rPr>
        <w:t>Д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lang w:eastAsia="ru-RU"/>
        </w:rPr>
        <w:t xml:space="preserve">ля социальных предпринимателей Приморского, имеющих статус социального предприятия Приморского края, установлена налоговая ставка в размере 1% по упрощенной системе налогообложения в случае, если объектом налогообложения являются доходы для вышеуказанных субъектов малого и среднего предпринимательства. </w:t>
      </w:r>
      <w:r>
        <w:rPr>
          <w:rFonts w:eastAsia="Arial Unicode MS" w:cs="Times New Roman" w:ascii="Times New Roman" w:hAnsi="Times New Roman"/>
          <w:i/>
          <w:iCs/>
          <w:color w:val="000000"/>
          <w:sz w:val="28"/>
          <w:szCs w:val="28"/>
          <w:lang w:eastAsia="ru-RU"/>
        </w:rPr>
        <w:t xml:space="preserve">(закон Приморского края от 13.12.2018 № 414-КЗ). </w:t>
      </w:r>
      <w:r>
        <w:rPr>
          <w:rFonts w:eastAsia="Arial Unicode MS" w:cs="Times New Roman" w:ascii="Times New Roman" w:hAnsi="Times New Roman"/>
          <w:i w:val="false"/>
          <w:iCs w:val="false"/>
          <w:color w:val="000000"/>
          <w:sz w:val="28"/>
          <w:szCs w:val="28"/>
          <w:lang w:eastAsia="ru-RU"/>
        </w:rPr>
        <w:t>В 2021 году 76 социальных предприятий воспользовалось данной налогвой льготой.</w:t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eastAsia="Arial Unicode MS" w:cs="Times New Roman" w:ascii="Times New Roman" w:hAnsi="Times New Roman"/>
          <w:color w:val="000000"/>
          <w:sz w:val="28"/>
          <w:szCs w:val="28"/>
          <w:lang w:eastAsia="ru-RU"/>
        </w:rPr>
        <w:t xml:space="preserve">На территории Приморского края введены налоговые каникулы на 2 года при применении упрощенной системы налогообложения для налогоплательщиков - индивидуальных предпринимателей, впервые зарегистрированных. </w:t>
      </w:r>
      <w:r>
        <w:rPr>
          <w:rFonts w:eastAsia="Arial Unicode MS" w:cs="Times New Roman" w:ascii="Times New Roman" w:hAnsi="Times New Roman"/>
          <w:i/>
          <w:iCs/>
          <w:color w:val="000000"/>
          <w:sz w:val="28"/>
          <w:szCs w:val="28"/>
          <w:lang w:eastAsia="ru-RU"/>
        </w:rPr>
        <w:t>(закон Приморского края от 23.06.2015 № 645-КЗ)</w:t>
      </w:r>
    </w:p>
    <w:p>
      <w:pPr>
        <w:pStyle w:val="Normal"/>
        <w:widowControl w:val="false"/>
        <w:spacing w:lineRule="auto" w:line="360"/>
        <w:ind w:firstLine="567"/>
        <w:jc w:val="both"/>
        <w:rPr/>
      </w:pP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- </w:t>
      </w:r>
      <w:r>
        <w:rPr>
          <w:rFonts w:eastAsia="Tahoma" w:cs="FreeSans" w:ascii="Times New Roman" w:hAnsi="Times New Roman"/>
          <w:b/>
          <w:bCs/>
          <w:kern w:val="2"/>
          <w:sz w:val="28"/>
          <w:szCs w:val="28"/>
          <w:highlight w:val="white"/>
          <w:lang w:eastAsia="zh-CN" w:bidi="hi-IN"/>
        </w:rPr>
        <w:t>П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>редоставление грантовой поддержки до 500 тыс. руб.</w:t>
      </w:r>
    </w:p>
    <w:p>
      <w:pPr>
        <w:pStyle w:val="Normal"/>
        <w:widowControl w:val="false"/>
        <w:ind w:firstLine="567"/>
        <w:jc w:val="both"/>
        <w:rPr/>
      </w:pP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 xml:space="preserve">В 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>2021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 xml:space="preserve"> году гранты получили 101 предприятие: социальные центры и пансионаты для социально-уязвимых категорий граждан, частные детские сады, образовательные, творческие и развивающие центры, школы серфинга, футбола, балета, музыки, плавания для детей и подростков.</w:t>
      </w:r>
    </w:p>
    <w:p>
      <w:pPr>
        <w:pStyle w:val="Normal"/>
        <w:widowControl w:val="false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  <w:highlight w:val="white"/>
          <w:lang w:eastAsia="ru-RU"/>
        </w:rPr>
        <w:t>Планируемые с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lang w:eastAsia="ru-RU"/>
        </w:rPr>
        <w:t xml:space="preserve">редства гранта направлены на закупку оборудования, техники, мебели, аренду и ремонт помещения, оплату коммунальных платежей. </w:t>
      </w:r>
    </w:p>
    <w:p>
      <w:pPr>
        <w:pStyle w:val="Normal"/>
        <w:widowControl w:val="false"/>
        <w:ind w:firstLine="567"/>
        <w:jc w:val="both"/>
        <w:rPr/>
      </w:pP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 xml:space="preserve">В 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>этом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 xml:space="preserve"> году заявки на гранты принимаются с августа после обновления Реестра, где будет отметка Налоговой службы о присвоении статуса социального предприятия. </w:t>
      </w:r>
    </w:p>
    <w:p>
      <w:pPr>
        <w:pStyle w:val="Normal"/>
        <w:widowControl w:val="false"/>
        <w:ind w:firstLine="567"/>
        <w:jc w:val="both"/>
        <w:rPr/>
      </w:pP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>Максимальная сумма гранта 500 тыс руб. При этом предприятие должно иметь статус социального предприятия Приморского края, пройти обучающий курс в рамках акселерационн</w:t>
      </w:r>
      <w:r>
        <w:rPr>
          <w:rFonts w:eastAsia="Arial Unicode MS" w:cs="Times New Roman" w:ascii="Times New Roman" w:hAnsi="Times New Roman"/>
          <w:color w:val="000000"/>
          <w:kern w:val="2"/>
          <w:sz w:val="28"/>
          <w:szCs w:val="28"/>
          <w:highlight w:val="white"/>
          <w:u w:val="none" w:color="000000"/>
          <w:lang w:eastAsia="ru-RU" w:bidi="hi-IN"/>
        </w:rPr>
        <w:t>ой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 xml:space="preserve"> программ</w:t>
      </w:r>
      <w:r>
        <w:rPr>
          <w:rFonts w:eastAsia="Arial Unicode MS" w:cs="Times New Roman" w:ascii="Times New Roman" w:hAnsi="Times New Roman"/>
          <w:color w:val="000000"/>
          <w:kern w:val="2"/>
          <w:sz w:val="28"/>
          <w:szCs w:val="28"/>
          <w:highlight w:val="white"/>
          <w:u w:val="none" w:color="000000"/>
          <w:lang w:eastAsia="ru-RU" w:bidi="hi-IN"/>
        </w:rPr>
        <w:t xml:space="preserve">ы, проводимой ЦИСС, 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>а также иметь 50% софинансирование проекта.</w:t>
      </w:r>
    </w:p>
    <w:p>
      <w:pPr>
        <w:pStyle w:val="Normal"/>
        <w:widowControl w:val="false"/>
        <w:ind w:firstLine="567"/>
        <w:jc w:val="both"/>
        <w:rPr/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bCs/>
          <w:sz w:val="28"/>
          <w:szCs w:val="28"/>
        </w:rPr>
        <w:t>Обучение в акселераторе «Бизнес от сердца».</w:t>
      </w:r>
      <w:r>
        <w:rPr>
          <w:rFonts w:ascii="Times New Roman" w:hAnsi="Times New Roman"/>
          <w:sz w:val="28"/>
          <w:szCs w:val="28"/>
        </w:rPr>
        <w:t xml:space="preserve"> Обучающий курс для предпринимателей, после которого </w:t>
      </w:r>
      <w:r>
        <w:rPr>
          <w:rFonts w:cs="Times New Roman" w:ascii="Times New Roman" w:hAnsi="Times New Roman"/>
          <w:sz w:val="28"/>
          <w:szCs w:val="28"/>
        </w:rPr>
        <w:t xml:space="preserve">можно претендовать на грантовую поддержку. 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>В этом году прошло 3 акселерационных курса, обучено 151 предприниматель.</w:t>
      </w:r>
    </w:p>
    <w:p>
      <w:pPr>
        <w:pStyle w:val="Normal"/>
        <w:widowControl w:val="false"/>
        <w:ind w:firstLine="567"/>
        <w:jc w:val="both"/>
        <w:rPr/>
      </w:pP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 xml:space="preserve">- Для предпринимателей, имеющих статус социального предприятия, </w:t>
      </w:r>
      <w:r>
        <w:rPr>
          <w:rFonts w:eastAsia="Arial Unicode MS" w:cs="Times New Roman" w:ascii="Times New Roman" w:hAnsi="Times New Roman"/>
          <w:color w:val="000000"/>
          <w:kern w:val="2"/>
          <w:sz w:val="28"/>
          <w:szCs w:val="28"/>
          <w:highlight w:val="white"/>
          <w:u w:val="none" w:color="000000"/>
          <w:lang w:eastAsia="ru-RU" w:bidi="hi-IN"/>
        </w:rPr>
        <w:t>р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 xml:space="preserve">азработан </w:t>
      </w:r>
      <w:r>
        <w:rPr>
          <w:rFonts w:eastAsia="Arial Unicode MS" w:cs="Times New Roman" w:ascii="Times New Roman" w:hAnsi="Times New Roman"/>
          <w:b/>
          <w:bCs/>
          <w:color w:val="000000"/>
          <w:sz w:val="28"/>
          <w:szCs w:val="28"/>
          <w:highlight w:val="white"/>
          <w:u w:val="none" w:color="000000"/>
          <w:lang w:eastAsia="ru-RU"/>
        </w:rPr>
        <w:t xml:space="preserve">льготный продукт в Приморской </w:t>
      </w:r>
      <w:r>
        <w:rPr>
          <w:rFonts w:eastAsia="Arial Unicode MS" w:cs="Times New Roman" w:ascii="Times New Roman" w:hAnsi="Times New Roman"/>
          <w:b/>
          <w:bCs/>
          <w:color w:val="000000"/>
          <w:kern w:val="2"/>
          <w:sz w:val="28"/>
          <w:szCs w:val="28"/>
          <w:highlight w:val="white"/>
          <w:u w:val="none" w:color="000000"/>
          <w:lang w:eastAsia="ru-RU" w:bidi="hi-IN"/>
        </w:rPr>
        <w:t>м</w:t>
      </w:r>
      <w:r>
        <w:rPr>
          <w:rFonts w:eastAsia="Arial Unicode MS" w:cs="Times New Roman" w:ascii="Times New Roman" w:hAnsi="Times New Roman"/>
          <w:b/>
          <w:bCs/>
          <w:color w:val="000000"/>
          <w:sz w:val="28"/>
          <w:szCs w:val="28"/>
          <w:highlight w:val="white"/>
          <w:u w:val="none" w:color="000000"/>
          <w:lang w:eastAsia="ru-RU"/>
        </w:rPr>
        <w:t xml:space="preserve">икрокредитной компании Приморского края от 1,5% годовых. 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u w:val="none" w:color="000000"/>
          <w:lang w:eastAsia="ru-RU"/>
        </w:rPr>
        <w:t xml:space="preserve">В 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u w:val="none" w:color="000000"/>
          <w:lang w:eastAsia="ru-RU"/>
        </w:rPr>
        <w:t>2021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u w:val="none" w:color="000000"/>
          <w:lang w:eastAsia="ru-RU"/>
        </w:rPr>
        <w:t xml:space="preserve"> году микрокредиты предоставлены 2 социальным предприятиям на сумму 2,8 млн. руб.</w:t>
      </w:r>
    </w:p>
    <w:p>
      <w:pPr>
        <w:pStyle w:val="Normal"/>
        <w:widowControl w:val="false"/>
        <w:ind w:firstLine="567"/>
        <w:jc w:val="both"/>
        <w:rPr/>
      </w:pP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 xml:space="preserve">- Социальные предприниматели смогут получить </w:t>
      </w:r>
      <w:r>
        <w:rPr>
          <w:rFonts w:eastAsia="Arial Unicode MS" w:cs="Times New Roman" w:ascii="Times New Roman" w:hAnsi="Times New Roman"/>
          <w:b/>
          <w:bCs/>
          <w:color w:val="000000"/>
          <w:sz w:val="28"/>
          <w:szCs w:val="28"/>
          <w:highlight w:val="white"/>
          <w:u w:val="none" w:color="000000"/>
          <w:lang w:eastAsia="ru-RU"/>
        </w:rPr>
        <w:t>поручительства Гарантийного фонда Приморского края на льготных условиях (0,5%).</w:t>
      </w:r>
    </w:p>
    <w:p>
      <w:pPr>
        <w:pStyle w:val="Normal"/>
        <w:widowControl w:val="false"/>
        <w:shd w:val="clear" w:color="auto" w:fill="FFFFFF"/>
        <w:ind w:firstLine="567"/>
        <w:jc w:val="both"/>
        <w:rPr/>
      </w:pPr>
      <w:r>
        <w:rPr>
          <w:rFonts w:eastAsia="Arial Unicode MS" w:cs="Times New Roman" w:ascii="Times New Roman" w:hAnsi="Times New Roman"/>
          <w:color w:val="000000"/>
          <w:kern w:val="2"/>
          <w:sz w:val="28"/>
          <w:szCs w:val="28"/>
          <w:highlight w:val="white"/>
          <w:u w:val="none" w:color="000000"/>
          <w:lang w:eastAsia="ru-RU" w:bidi="hi-IN"/>
        </w:rPr>
        <w:t>- С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>оциальным предпринимателям Центр инноваци</w:t>
      </w:r>
      <w:r>
        <w:rPr>
          <w:rFonts w:eastAsia="Arial Unicode MS" w:cs="Times New Roman" w:ascii="Times New Roman" w:hAnsi="Times New Roman"/>
          <w:color w:val="000000"/>
          <w:kern w:val="2"/>
          <w:sz w:val="28"/>
          <w:szCs w:val="28"/>
          <w:highlight w:val="white"/>
          <w:u w:val="none" w:color="000000"/>
          <w:lang w:eastAsia="ru-RU" w:bidi="hi-IN"/>
        </w:rPr>
        <w:t>й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 xml:space="preserve"> социальной сферы предоставляет </w:t>
      </w:r>
      <w:r>
        <w:rPr>
          <w:rFonts w:eastAsia="Arial Unicode MS" w:cs="Times New Roman" w:ascii="Times New Roman" w:hAnsi="Times New Roman"/>
          <w:b/>
          <w:bCs/>
          <w:color w:val="000000"/>
          <w:sz w:val="28"/>
          <w:szCs w:val="28"/>
          <w:highlight w:val="white"/>
          <w:u w:val="none" w:color="000000"/>
          <w:lang w:eastAsia="ru-RU"/>
        </w:rPr>
        <w:t>консультационные услуги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 xml:space="preserve"> по различным направлениям деятельности 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>(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 xml:space="preserve">294 субъектам МСП оказаны комплексные услуги; 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>о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 xml:space="preserve">казано 3000 консультаций; 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>о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 xml:space="preserve">казаны 993 услуги; 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>о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 xml:space="preserve">казано 230 услуг по продвижению бренда; 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>п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 xml:space="preserve">роведено 86 обучающих мероприятий; 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>п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 xml:space="preserve">роведена конференция по социальному предпринимательству «Бизнес от сердца»; 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>п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>роведен Конкурс «Лучший социальный проект года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>).</w:t>
      </w:r>
    </w:p>
    <w:p>
      <w:pPr>
        <w:pStyle w:val="Normal"/>
        <w:widowControl w:val="false"/>
        <w:shd w:val="clear" w:color="auto" w:fill="FFFFFF"/>
        <w:ind w:firstLine="567"/>
        <w:jc w:val="both"/>
        <w:rPr/>
      </w:pP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 xml:space="preserve">-  </w:t>
      </w:r>
      <w:r>
        <w:rPr>
          <w:rFonts w:eastAsia="Arial Unicode MS" w:cs="Times New Roman" w:ascii="Times New Roman" w:hAnsi="Times New Roman"/>
          <w:b/>
          <w:bCs/>
          <w:color w:val="000000"/>
          <w:sz w:val="28"/>
          <w:szCs w:val="28"/>
          <w:highlight w:val="white"/>
          <w:u w:val="none" w:color="000000"/>
          <w:lang w:eastAsia="ru-RU"/>
        </w:rPr>
        <w:t xml:space="preserve">Меры по </w:t>
      </w:r>
      <w:bookmarkStart w:id="0" w:name="__DdeLink__334_39597605791"/>
      <w:r>
        <w:rPr>
          <w:rFonts w:eastAsia="Arial Unicode MS" w:cs="Times New Roman" w:ascii="Times New Roman" w:hAnsi="Times New Roman"/>
          <w:b/>
          <w:bCs/>
          <w:color w:val="000000"/>
          <w:sz w:val="28"/>
          <w:szCs w:val="28"/>
          <w:highlight w:val="white"/>
          <w:u w:val="none" w:color="000000"/>
          <w:lang w:eastAsia="ru-RU"/>
        </w:rPr>
        <w:t>поддержке социального предпринимательства</w:t>
      </w:r>
      <w:bookmarkEnd w:id="0"/>
      <w:r>
        <w:rPr>
          <w:rFonts w:eastAsia="Arial Unicode MS" w:cs="Times New Roman" w:ascii="Times New Roman" w:hAnsi="Times New Roman"/>
          <w:b/>
          <w:bCs/>
          <w:color w:val="000000"/>
          <w:sz w:val="28"/>
          <w:szCs w:val="28"/>
          <w:highlight w:val="white"/>
          <w:u w:val="none" w:color="000000"/>
          <w:lang w:eastAsia="ru-RU"/>
        </w:rPr>
        <w:t xml:space="preserve"> в рамках муниципальных программ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highlight w:val="white"/>
          <w:u w:val="none" w:color="000000"/>
          <w:lang w:eastAsia="ru-RU"/>
        </w:rPr>
        <w:t xml:space="preserve"> по поддержке малого и среднего предпринимательства.</w:t>
      </w:r>
    </w:p>
    <w:p>
      <w:pPr>
        <w:pStyle w:val="Normal"/>
        <w:widowControl w:val="false"/>
        <w:shd w:val="clear" w:color="auto" w:fill="FFFFFF"/>
        <w:spacing w:lineRule="auto" w:line="360"/>
        <w:ind w:firstLine="567"/>
        <w:jc w:val="center"/>
        <w:rPr>
          <w:rFonts w:ascii="Times New Roman" w:hAnsi="Times New Roman" w:eastAsia="Arial Unicode MS" w:cs="Times New Roman"/>
          <w:b/>
          <w:b/>
          <w:bCs/>
          <w:i/>
          <w:i/>
          <w:iCs/>
          <w:color w:val="000000"/>
          <w:sz w:val="28"/>
          <w:szCs w:val="28"/>
          <w:highlight w:val="white"/>
          <w:u w:val="none" w:color="000000"/>
          <w:lang w:eastAsia="ru-RU"/>
        </w:rPr>
      </w:pPr>
      <w:r>
        <w:rPr>
          <w:rFonts w:eastAsia="Arial Unicode MS" w:cs="Times New Roman" w:ascii="Times New Roman" w:hAnsi="Times New Roman"/>
          <w:b/>
          <w:bCs/>
          <w:i/>
          <w:iCs/>
          <w:color w:val="000000"/>
          <w:sz w:val="28"/>
          <w:szCs w:val="28"/>
          <w:highlight w:val="white"/>
          <w:u w:val="none" w:color="000000"/>
          <w:lang w:eastAsia="ru-RU"/>
        </w:rPr>
      </w:r>
    </w:p>
    <w:p>
      <w:pPr>
        <w:pStyle w:val="Normal"/>
        <w:widowControl w:val="false"/>
        <w:shd w:val="clear" w:color="auto" w:fill="FFFFFF"/>
        <w:spacing w:lineRule="auto" w:line="360"/>
        <w:ind w:firstLine="567"/>
        <w:jc w:val="center"/>
        <w:rPr>
          <w:rFonts w:ascii="Times New Roman" w:hAnsi="Times New Roman" w:eastAsia="Arial Unicode MS" w:cs="Times New Roman"/>
          <w:b/>
          <w:b/>
          <w:bCs/>
          <w:i/>
          <w:i/>
          <w:iCs/>
          <w:color w:val="000000"/>
          <w:sz w:val="28"/>
          <w:szCs w:val="28"/>
          <w:highlight w:val="white"/>
          <w:u w:val="none" w:color="000000"/>
          <w:lang w:eastAsia="ru-RU"/>
        </w:rPr>
      </w:pPr>
      <w:r>
        <w:rPr/>
      </w:r>
    </w:p>
    <w:p>
      <w:pPr>
        <w:pStyle w:val="Normal"/>
        <w:widowControl w:val="false"/>
        <w:shd w:val="clear" w:color="auto" w:fill="FFFFFF"/>
        <w:spacing w:lineRule="auto" w:line="360"/>
        <w:ind w:firstLine="567"/>
        <w:jc w:val="center"/>
        <w:rPr/>
      </w:pPr>
      <w:r>
        <w:rPr>
          <w:rFonts w:eastAsia="Arial Unicode MS" w:cs="Times New Roman" w:ascii="Times New Roman" w:hAnsi="Times New Roman"/>
          <w:b/>
          <w:bCs/>
          <w:i/>
          <w:iCs/>
          <w:color w:val="000000"/>
          <w:sz w:val="28"/>
          <w:szCs w:val="28"/>
          <w:highlight w:val="white"/>
          <w:u w:val="none" w:color="000000"/>
          <w:lang w:eastAsia="ru-RU"/>
        </w:rPr>
        <w:t>С</w:t>
      </w:r>
      <w:bookmarkStart w:id="1" w:name="_GoBack"/>
      <w:bookmarkEnd w:id="1"/>
      <w:r>
        <w:rPr>
          <w:rFonts w:eastAsia="Arial Unicode MS" w:cs="Times New Roman" w:ascii="Times New Roman" w:hAnsi="Times New Roman"/>
          <w:b/>
          <w:bCs/>
          <w:i/>
          <w:iCs/>
          <w:color w:val="000000"/>
          <w:sz w:val="28"/>
          <w:szCs w:val="28"/>
          <w:highlight w:val="white"/>
          <w:u w:val="none" w:color="000000"/>
          <w:lang w:eastAsia="ru-RU"/>
        </w:rPr>
        <w:t xml:space="preserve">правочно </w:t>
      </w:r>
    </w:p>
    <w:p>
      <w:pPr>
        <w:pStyle w:val="Normal"/>
        <w:spacing w:lineRule="auto" w:line="360"/>
        <w:ind w:firstLine="709"/>
        <w:jc w:val="center"/>
        <w:rPr>
          <w:i/>
          <w:i/>
          <w:iCs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  <w:lang w:eastAsia="ru-RU"/>
        </w:rPr>
        <w:t>Социальное предприятие:</w:t>
      </w:r>
      <w:r>
        <w:rPr>
          <w:rFonts w:cs="Times New Roman" w:ascii="Times New Roman" w:hAnsi="Times New Roman"/>
          <w:i/>
          <w:iCs/>
          <w:sz w:val="28"/>
          <w:szCs w:val="28"/>
          <w:lang w:eastAsia="ru-RU"/>
        </w:rPr>
        <w:t xml:space="preserve">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i/>
          <w:i/>
          <w:iCs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i/>
          <w:iCs/>
          <w:color w:val="000000"/>
          <w:sz w:val="28"/>
          <w:szCs w:val="28"/>
          <w:lang w:eastAsia="ru-RU"/>
        </w:rPr>
        <w:t>Социальное предприятие – субъект малого или среднего предпринимательства, осуществляющий деятельность, направленную на достижение общественно полезных целей, решение социальных проблем граждан и общества.</w:t>
      </w:r>
    </w:p>
    <w:p>
      <w:pPr>
        <w:pStyle w:val="Normal"/>
        <w:shd w:val="clear" w:color="auto" w:fill="FFFFFF"/>
        <w:spacing w:lineRule="atLeast" w:line="270"/>
        <w:jc w:val="center"/>
        <w:rPr>
          <w:i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Существуют четыре критерия социального предприятия:</w:t>
      </w:r>
    </w:p>
    <w:p>
      <w:pPr>
        <w:pStyle w:val="Normal"/>
        <w:shd w:val="clear" w:color="auto" w:fill="FFFFFF"/>
        <w:spacing w:lineRule="atLeast" w:line="270"/>
        <w:jc w:val="both"/>
        <w:rPr>
          <w:rFonts w:ascii="Times New Roman" w:hAnsi="Times New Roman"/>
          <w:i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i/>
          <w:iCs/>
          <w:color w:val="000000"/>
          <w:sz w:val="28"/>
          <w:szCs w:val="28"/>
        </w:rPr>
      </w:r>
    </w:p>
    <w:p>
      <w:pPr>
        <w:pStyle w:val="Normal"/>
        <w:jc w:val="both"/>
        <w:rPr>
          <w:i/>
          <w:i/>
          <w:i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/>
          <w:iCs/>
          <w:color w:val="000000"/>
          <w:sz w:val="28"/>
          <w:szCs w:val="28"/>
          <w:lang w:eastAsia="ru-RU"/>
        </w:rPr>
        <w:t>1. Предприниматели обеспечивают занятость социально уязвимых категорий граждан.</w:t>
      </w:r>
    </w:p>
    <w:p>
      <w:pPr>
        <w:pStyle w:val="Normal"/>
        <w:jc w:val="both"/>
        <w:rPr>
          <w:i/>
          <w:i/>
          <w:i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/>
          <w:iCs/>
          <w:color w:val="000000"/>
          <w:sz w:val="28"/>
          <w:szCs w:val="28"/>
          <w:lang w:eastAsia="ru-RU"/>
        </w:rPr>
        <w:t>2. Предприниматели реализуют товары, которые производят социально уязвимые категории граждан.</w:t>
      </w:r>
    </w:p>
    <w:p>
      <w:pPr>
        <w:pStyle w:val="Normal"/>
        <w:shd w:val="clear" w:color="auto" w:fill="FFFFFF"/>
        <w:jc w:val="both"/>
        <w:rPr>
          <w:i/>
          <w:i/>
          <w:i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i/>
          <w:iCs/>
          <w:color w:val="000000"/>
          <w:sz w:val="28"/>
          <w:szCs w:val="28"/>
          <w:lang w:eastAsia="ru-RU"/>
        </w:rPr>
        <w:t>3. Предприниматели производят товары или услуги для социально уязвимых категорий граждан.</w:t>
      </w:r>
    </w:p>
    <w:p>
      <w:pPr>
        <w:pStyle w:val="Normal"/>
        <w:shd w:val="clear" w:color="auto" w:fill="FFFFFF"/>
        <w:jc w:val="both"/>
        <w:rPr>
          <w:i/>
          <w:i/>
          <w:iCs/>
        </w:rPr>
      </w:pPr>
      <w:r>
        <w:rPr>
          <w:rFonts w:eastAsia="Times New Roman" w:cs="Times New Roman" w:ascii="Times New Roman" w:hAnsi="Times New Roman"/>
          <w:i/>
          <w:iCs/>
          <w:color w:val="000000"/>
          <w:sz w:val="28"/>
          <w:szCs w:val="28"/>
          <w:lang w:eastAsia="ru-RU"/>
        </w:rPr>
        <w:t>4. Предприниматели осуществляет деятельность, направленную на достижение общественно полезных целей и способствующую решению социальных проблем общества.</w:t>
      </w:r>
    </w:p>
    <w:p>
      <w:pPr>
        <w:pStyle w:val="Style23"/>
        <w:shd w:val="clear" w:color="auto" w:fill="FFFFFF"/>
        <w:spacing w:lineRule="auto" w:line="360" w:before="0" w:after="0"/>
        <w:jc w:val="center"/>
        <w:rPr>
          <w:rFonts w:ascii="Times New Roman" w:hAnsi="Times New Roman" w:cs="Times New Roman"/>
          <w:b/>
          <w:b/>
          <w:bCs/>
          <w:i/>
          <w:i/>
          <w:iCs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Социально уязвимые категории граждан:</w:t>
      </w:r>
    </w:p>
    <w:p>
      <w:pPr>
        <w:pStyle w:val="Style23"/>
        <w:shd w:val="clear" w:color="auto" w:fill="FFFFFF"/>
        <w:snapToGrid w:val="false"/>
        <w:spacing w:lineRule="atLeast" w:line="272" w:before="0" w:after="0"/>
        <w:jc w:val="both"/>
        <w:rPr/>
      </w:pPr>
      <w:r>
        <w:rPr>
          <w:rStyle w:val="Style20"/>
          <w:rFonts w:cs="Times New Roman" w:ascii="Times New Roman" w:hAnsi="Times New Roman"/>
          <w:b w:val="false"/>
          <w:bCs w:val="false"/>
          <w:i/>
          <w:iCs/>
          <w:color w:val="000000"/>
          <w:sz w:val="28"/>
          <w:szCs w:val="28"/>
          <w:lang w:eastAsia="ru-RU"/>
        </w:rPr>
        <w:t>Инвалиды и лица с ограниченными возможностями здоровья</w:t>
      </w:r>
    </w:p>
    <w:p>
      <w:pPr>
        <w:pStyle w:val="Style23"/>
        <w:snapToGrid w:val="false"/>
        <w:spacing w:lineRule="atLeast" w:line="272" w:before="0" w:after="0"/>
        <w:rPr/>
      </w:pPr>
      <w:r>
        <w:rPr>
          <w:rStyle w:val="Style20"/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>Одинокие или многодетные родители (если их детям нет 18 лет)</w:t>
      </w:r>
    </w:p>
    <w:p>
      <w:pPr>
        <w:pStyle w:val="Style23"/>
        <w:snapToGrid w:val="false"/>
        <w:spacing w:lineRule="atLeast" w:line="272" w:before="0" w:after="0"/>
        <w:rPr/>
      </w:pPr>
      <w:r>
        <w:rPr>
          <w:rStyle w:val="Style20"/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>Пенсионеры и граждане предпенсионного возраста</w:t>
      </w:r>
    </w:p>
    <w:p>
      <w:pPr>
        <w:pStyle w:val="Style23"/>
        <w:snapToGrid w:val="false"/>
        <w:spacing w:lineRule="atLeast" w:line="272" w:before="0" w:after="0"/>
        <w:rPr/>
      </w:pPr>
      <w:r>
        <w:rPr>
          <w:rStyle w:val="Style20"/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>Выпускники детских домов в возрасте до 23 лет</w:t>
      </w:r>
    </w:p>
    <w:p>
      <w:pPr>
        <w:pStyle w:val="Style23"/>
        <w:snapToGrid w:val="false"/>
        <w:spacing w:lineRule="atLeast" w:line="272" w:before="0" w:after="0"/>
        <w:rPr/>
      </w:pPr>
      <w:r>
        <w:rPr>
          <w:rStyle w:val="Style20"/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>Бывшие заключенные с неснятой судимостью</w:t>
      </w:r>
    </w:p>
    <w:p>
      <w:pPr>
        <w:pStyle w:val="Style23"/>
        <w:snapToGrid w:val="false"/>
        <w:spacing w:lineRule="atLeast" w:line="272" w:before="0" w:after="0"/>
        <w:rPr/>
      </w:pPr>
      <w:r>
        <w:rPr>
          <w:rStyle w:val="Style20"/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>Беженцы и вынужденные переселенцы</w:t>
      </w:r>
    </w:p>
    <w:p>
      <w:pPr>
        <w:pStyle w:val="Style23"/>
        <w:snapToGrid w:val="false"/>
        <w:spacing w:lineRule="atLeast" w:line="272" w:before="0" w:after="0"/>
        <w:rPr/>
      </w:pPr>
      <w:r>
        <w:rPr>
          <w:rStyle w:val="Style20"/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>Малоимущие граждане</w:t>
      </w:r>
    </w:p>
    <w:p>
      <w:pPr>
        <w:pStyle w:val="Style23"/>
        <w:snapToGrid w:val="false"/>
        <w:spacing w:lineRule="atLeast" w:line="272" w:before="0" w:after="0"/>
        <w:rPr/>
      </w:pPr>
      <w:r>
        <w:rPr>
          <w:rStyle w:val="Style20"/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>Лица без определенного места жительства и занятий</w:t>
      </w:r>
    </w:p>
    <w:p>
      <w:pPr>
        <w:pStyle w:val="Style23"/>
        <w:shd w:val="clear" w:color="auto" w:fill="FFFFFF"/>
        <w:snapToGrid w:val="false"/>
        <w:spacing w:lineRule="atLeast" w:line="272" w:before="0" w:after="0"/>
        <w:jc w:val="both"/>
        <w:rPr/>
      </w:pPr>
      <w:r>
        <w:rPr>
          <w:rStyle w:val="Style20"/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>Граждане, нуждающиеся в социальном обслуживании</w:t>
      </w:r>
    </w:p>
    <w:p>
      <w:pPr>
        <w:pStyle w:val="Normal"/>
        <w:shd w:val="clear" w:color="auto" w:fill="FFFFFF"/>
        <w:spacing w:lineRule="atLeast" w:line="270"/>
        <w:jc w:val="center"/>
        <w:rPr>
          <w:rFonts w:ascii="Times New Roman" w:hAnsi="Times New Roman"/>
          <w:b/>
          <w:b/>
          <w:bCs/>
          <w:i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Примеры социальных предприятий: </w:t>
      </w:r>
    </w:p>
    <w:p>
      <w:pPr>
        <w:pStyle w:val="Normal"/>
        <w:shd w:val="clear" w:color="auto" w:fill="FFFFFF"/>
        <w:spacing w:lineRule="atLeast" w:line="270"/>
        <w:jc w:val="both"/>
        <w:rPr>
          <w:rFonts w:ascii="Times New Roman" w:hAnsi="Times New Roman"/>
          <w:i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i/>
          <w:iCs/>
          <w:color w:val="000000"/>
          <w:sz w:val="28"/>
          <w:szCs w:val="28"/>
        </w:rPr>
      </w:r>
    </w:p>
    <w:p>
      <w:pPr>
        <w:pStyle w:val="Style23"/>
        <w:shd w:val="clear" w:color="auto" w:fill="FFFFFF"/>
        <w:spacing w:lineRule="atLeast" w:line="270" w:before="0" w:after="0"/>
        <w:jc w:val="both"/>
        <w:rPr/>
      </w:pPr>
      <w:r>
        <w:rPr>
          <w:rFonts w:cs="Times New Roman" w:ascii="Times New Roman" w:hAnsi="Times New Roman"/>
          <w:i/>
          <w:iCs/>
          <w:color w:val="000000"/>
          <w:sz w:val="28"/>
          <w:szCs w:val="28"/>
          <w:lang w:eastAsia="ru-RU"/>
        </w:rPr>
        <w:t>Это компании и индивидуальные предприниматели, которые работают в сфере поддержки материнства и детства, образования (частные детские сады и школы, кружки и т.д.), отдыха и оздоровления детей (детские лагеря, санатории, медцентры и т.д.), социальной адаптации (психолого-педагогическая, медицинская и социальная помощь уязвимым слоям населения), культурно-просветительской деятельности (частные музеи, театры, библиотеки, творческие мастерские и т.д.), издания печатной продукции по тематике образования, науки и культуры, а также осуществляют иную деятельность, направленную на решение социальных проблем общества. Также это предприятия, которые предоставляют рабочие места людям с ограниченными возможностями, выпускникам детских домов, многодетным и одиноким родителям и другим уязвимым слоям населения. Или для этих же категорий граждан производят товары и услуги, способствуют их реализации.</w:t>
      </w:r>
    </w:p>
    <w:sectPr>
      <w:headerReference w:type="default" r:id="rId4"/>
      <w:type w:val="nextPage"/>
      <w:pgSz w:w="11906" w:h="16838"/>
      <w:pgMar w:left="1701" w:right="850" w:header="0" w:top="1134" w:footer="0" w:bottom="1134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Times New Roman">
    <w:charset w:val="01"/>
    <w:family w:val="roman"/>
    <w:pitch w:val="default"/>
  </w:font>
  <w:font w:name="OpenSymbol">
    <w:altName w:val="Arial Unicode MS"/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8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documentProtection w:edit="forms" w:enforcement="1" w:cryptProviderType="rsaAES" w:cryptAlgorithmClass="hash" w:cryptAlgorithmType="typeAny" w:cryptAlgorithmSid="" w:cryptSpinCount="0" w:hash="" w:salt="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overflowPunct w:val="true"/>
      <w:bidi w:val="0"/>
      <w:spacing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Style15" w:customStyle="1">
    <w:name w:val="Верхний колонтитул Знак"/>
    <w:basedOn w:val="DefaultParagraphFont"/>
    <w:qFormat/>
    <w:rPr/>
  </w:style>
  <w:style w:type="character" w:styleId="Style16" w:customStyle="1">
    <w:name w:val="Нижний колонтитул Знак"/>
    <w:basedOn w:val="DefaultParagraphFont"/>
    <w:qFormat/>
    <w:rPr/>
  </w:style>
  <w:style w:type="character" w:styleId="2" w:customStyle="1">
    <w:name w:val="Основной текст (2)_"/>
    <w:basedOn w:val="DefaultParagraphFont"/>
    <w:qFormat/>
    <w:rPr>
      <w:rFonts w:ascii="Times New Roman" w:hAnsi="Times New Roman" w:eastAsia="Times New Roman" w:cs="Times New Roman"/>
      <w:highlight w:val="white"/>
    </w:rPr>
  </w:style>
  <w:style w:type="character" w:styleId="Style17" w:customStyle="1">
    <w:name w:val="Абзац списка Знак"/>
    <w:qFormat/>
    <w:rPr/>
  </w:style>
  <w:style w:type="character" w:styleId="Style18" w:customStyle="1">
    <w:name w:val="Интернет-ссылка"/>
    <w:rPr>
      <w:color w:val="000080"/>
      <w:u w:val="single"/>
    </w:rPr>
  </w:style>
  <w:style w:type="character" w:styleId="Style19" w:customStyle="1">
    <w:name w:val="Посещённая гиперссылка"/>
    <w:rPr>
      <w:color w:val="800000"/>
      <w:u w:val="single"/>
    </w:rPr>
  </w:style>
  <w:style w:type="character" w:styleId="Style20" w:customStyle="1">
    <w:name w:val="Выделение жирным"/>
    <w:qFormat/>
    <w:rPr>
      <w:b/>
      <w:bCs/>
    </w:rPr>
  </w:style>
  <w:style w:type="character" w:styleId="Style21" w:customStyle="1">
    <w:name w:val="Маркеры списка"/>
    <w:qFormat/>
    <w:rPr>
      <w:rFonts w:ascii="OpenSymbol" w:hAnsi="OpenSymbol" w:eastAsia="OpenSymbol" w:cs="OpenSymbol"/>
    </w:rPr>
  </w:style>
  <w:style w:type="character" w:styleId="Markedcontent" w:customStyle="1">
    <w:name w:val="markedcontent"/>
    <w:qFormat/>
    <w:rPr/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Times New Roman" w:hAnsi="Times New Roman" w:eastAsia="Tahoma" w:cs="FreeSans"/>
      <w:sz w:val="28"/>
      <w:szCs w:val="28"/>
    </w:rPr>
  </w:style>
  <w:style w:type="paragraph" w:styleId="Style23">
    <w:name w:val="Body Text"/>
    <w:basedOn w:val="Normal"/>
    <w:pPr>
      <w:spacing w:lineRule="auto" w:line="276" w:before="0" w:after="140"/>
    </w:pPr>
    <w:rPr/>
  </w:style>
  <w:style w:type="paragraph" w:styleId="Style24">
    <w:name w:val="List"/>
    <w:basedOn w:val="Style23"/>
    <w:pPr/>
    <w:rPr>
      <w:rFonts w:ascii="Times New Roman" w:hAnsi="Times New Roman" w:cs="FreeSans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Times New Roman" w:hAnsi="Times New Roman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ascii="Times New Roman" w:hAnsi="Times New Roman" w:cs="FreeSans"/>
    </w:rPr>
  </w:style>
  <w:style w:type="paragraph" w:styleId="BalloonText">
    <w:name w:val="Balloon Text"/>
    <w:basedOn w:val="Normal"/>
    <w:qFormat/>
    <w:pPr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Style27" w:customStyle="1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9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21" w:customStyle="1">
    <w:name w:val="Основной текст (2)"/>
    <w:basedOn w:val="Normal"/>
    <w:qFormat/>
    <w:pPr>
      <w:widowControl w:val="false"/>
      <w:shd w:val="clear" w:color="auto" w:fill="FFFFFF"/>
      <w:spacing w:lineRule="exact" w:line="274"/>
      <w:jc w:val="right"/>
    </w:pPr>
    <w:rPr>
      <w:rFonts w:ascii="Times New Roman" w:hAnsi="Times New Roman" w:eastAsia="Times New Roman" w:cs="Times New Roman"/>
    </w:rPr>
  </w:style>
  <w:style w:type="paragraph" w:styleId="Style30" w:customStyle="1">
    <w:name w:val="Содержимое таблицы"/>
    <w:basedOn w:val="Normal"/>
    <w:qFormat/>
    <w:pPr>
      <w:suppressLineNumbers/>
    </w:pPr>
    <w:rPr/>
  </w:style>
  <w:style w:type="paragraph" w:styleId="Style31" w:customStyle="1">
    <w:name w:val="Заголовок таблицы"/>
    <w:basedOn w:val="Style30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cisspk@cpp25.ru" TargetMode="External"/><Relationship Id="rId3" Type="http://schemas.openxmlformats.org/officeDocument/2006/relationships/hyperlink" Target="" TargetMode="External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A73FD-EA9A-4CCD-A7D4-3E10907D0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Application>LibreOffice/6.3.5.2$Linux_X86_64 LibreOffice_project/30$Build-2</Application>
  <Pages>3</Pages>
  <Words>769</Words>
  <Characters>5495</Characters>
  <CharactersWithSpaces>6200</CharactersWithSpaces>
  <Paragraphs>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2020-05-27T01:14:00Z</dcterms:created>
  <dc:creator>Дмитриенко Сергей Михайлович</dc:creator>
  <dc:description/>
  <dc:language>ru-RU</dc:language>
  <cp:lastModifiedBy>Наталья Владимировна Каплюк</cp:lastModifiedBy>
  <cp:lastPrinted>2021-11-29T15:32:00Z</cp:lastPrinted>
  <dcterms:modified xsi:type="dcterms:W3CDTF">2022-01-31T15:57:19Z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